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ADB31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HG丸ｺﾞｼｯｸM-PRO" w:hint="eastAsia"/>
          <w:kern w:val="0"/>
          <w:sz w:val="21"/>
          <w:szCs w:val="21"/>
        </w:rPr>
        <w:t>＜第５条関係＞</w:t>
      </w:r>
    </w:p>
    <w:p w14:paraId="72D7E9EC" w14:textId="77777777" w:rsidR="00670FB8" w:rsidRPr="00C7431B" w:rsidRDefault="00670FB8" w:rsidP="00670FB8">
      <w:pPr>
        <w:widowControl w:val="0"/>
        <w:overflowPunct w:val="0"/>
        <w:spacing w:line="354" w:lineRule="exact"/>
        <w:jc w:val="center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HG丸ｺﾞｼｯｸM-PRO" w:hint="eastAsia"/>
          <w:b/>
          <w:bCs/>
          <w:spacing w:val="2"/>
          <w:kern w:val="0"/>
          <w:sz w:val="28"/>
          <w:szCs w:val="28"/>
        </w:rPr>
        <w:t>審　査　基　準　表</w:t>
      </w:r>
    </w:p>
    <w:p w14:paraId="6035FE24" w14:textId="77777777" w:rsidR="00670FB8" w:rsidRPr="00C7431B" w:rsidRDefault="00670FB8" w:rsidP="00670FB8">
      <w:pPr>
        <w:widowControl w:val="0"/>
        <w:overflowPunct w:val="0"/>
        <w:spacing w:line="318" w:lineRule="exact"/>
        <w:jc w:val="center"/>
        <w:textAlignment w:val="baseline"/>
        <w:rPr>
          <w:rFonts w:cs="HG丸ｺﾞｼｯｸM-PRO"/>
          <w:b/>
          <w:bCs/>
          <w:spacing w:val="2"/>
          <w:kern w:val="0"/>
          <w:sz w:val="24"/>
        </w:rPr>
      </w:pPr>
      <w:r w:rsidRPr="00C7431B">
        <w:rPr>
          <w:rFonts w:cs="HG丸ｺﾞｼｯｸM-PRO" w:hint="eastAsia"/>
          <w:b/>
          <w:bCs/>
          <w:spacing w:val="2"/>
          <w:kern w:val="0"/>
          <w:sz w:val="24"/>
        </w:rPr>
        <w:t>（みやはくデジタルミュージアム構築事業業務委託）</w:t>
      </w:r>
    </w:p>
    <w:tbl>
      <w:tblPr>
        <w:tblW w:w="95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3118"/>
        <w:gridCol w:w="3686"/>
        <w:gridCol w:w="608"/>
        <w:gridCol w:w="526"/>
        <w:gridCol w:w="608"/>
      </w:tblGrid>
      <w:tr w:rsidR="00C7431B" w:rsidRPr="00C7431B" w14:paraId="08700053" w14:textId="77777777" w:rsidTr="00356C03">
        <w:trPr>
          <w:trHeight w:val="1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8B37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大項目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0722F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小項目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2734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審査内容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BD3A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配点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0A8C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重み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8AB4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配点</w:t>
            </w:r>
          </w:p>
        </w:tc>
      </w:tr>
      <w:tr w:rsidR="00C7431B" w:rsidRPr="00C7431B" w14:paraId="2F95A09C" w14:textId="77777777" w:rsidTr="00356C03">
        <w:trPr>
          <w:trHeight w:val="402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916F7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基本的</w:t>
            </w:r>
          </w:p>
          <w:p w14:paraId="7C82DF03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事項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27BC3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企業概要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C37A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事業に対する企業規模など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FEC7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3</w:t>
            </w: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01DF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78DE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1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</w:tr>
      <w:tr w:rsidR="00C7431B" w:rsidRPr="00C7431B" w14:paraId="1A2D3ADC" w14:textId="77777777" w:rsidTr="00356C03">
        <w:trPr>
          <w:trHeight w:val="402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F50D9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D55F3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類似業務の実績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F8D6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特筆すべき実績の有無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4EE00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620D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3D7F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1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</w:tr>
      <w:tr w:rsidR="00C7431B" w:rsidRPr="00C7431B" w14:paraId="429BAC4A" w14:textId="77777777" w:rsidTr="00356C03">
        <w:trPr>
          <w:trHeight w:val="40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7B800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ACD09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事業目的の理解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C7D4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事業の目的との相違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71011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4646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CD0F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10</w:t>
            </w:r>
          </w:p>
        </w:tc>
      </w:tr>
      <w:tr w:rsidR="00C7431B" w:rsidRPr="00C7431B" w14:paraId="69BD7291" w14:textId="77777777" w:rsidTr="00356C03">
        <w:trPr>
          <w:trHeight w:val="402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65D4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システム</w:t>
            </w:r>
          </w:p>
          <w:p w14:paraId="0DA852C8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機能</w:t>
            </w:r>
          </w:p>
          <w:p w14:paraId="0D7C7131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108E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デジタルアーカイブ</w:t>
            </w:r>
          </w:p>
          <w:p w14:paraId="2EFB1AC9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（収蔵資料管理システム）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6CF4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機能の充足度や提案内容の独創性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C7FA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21</w:t>
            </w: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74B2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B750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5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</w:tr>
      <w:tr w:rsidR="00C7431B" w:rsidRPr="00C7431B" w14:paraId="3BF0B0D4" w14:textId="77777777" w:rsidTr="00356C03">
        <w:trPr>
          <w:trHeight w:val="40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2435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6BE94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コンテンツを公開するWebサイト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E585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機能の充足度や提案内容の独創性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6EA2C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5F11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1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B27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5</w:t>
            </w: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0</w:t>
            </w:r>
          </w:p>
        </w:tc>
      </w:tr>
      <w:tr w:rsidR="00C7431B" w:rsidRPr="00C7431B" w14:paraId="64C2EB03" w14:textId="77777777" w:rsidTr="00356C03">
        <w:trPr>
          <w:trHeight w:val="40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8E8F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5B9C0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館内展示等のシステム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BE42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機能の充足度や安定性、持続性、提案内容の独創性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6DD11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AF03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1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FE21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50</w:t>
            </w:r>
          </w:p>
        </w:tc>
      </w:tr>
      <w:tr w:rsidR="00C7431B" w:rsidRPr="00C7431B" w14:paraId="4CB929A1" w14:textId="77777777" w:rsidTr="00356C03">
        <w:trPr>
          <w:trHeight w:val="40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C6AE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8CCF7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大型映像投影システムおよびコンテンツ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EBB6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機能の充足度や安定性、持続性、提案内容の独創性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E5FA2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4BC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1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35F1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5</w:t>
            </w: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0</w:t>
            </w:r>
          </w:p>
        </w:tc>
      </w:tr>
      <w:tr w:rsidR="00C7431B" w:rsidRPr="00C7431B" w14:paraId="43C4E809" w14:textId="77777777" w:rsidTr="00356C03">
        <w:trPr>
          <w:trHeight w:val="40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DF79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02AED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proofErr w:type="spellStart"/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Wifi</w:t>
            </w:r>
            <w:proofErr w:type="spellEnd"/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環境の整備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BD9C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機能の充足度や、安全性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D8B8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FCE2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5579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1</w:t>
            </w: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0</w:t>
            </w:r>
          </w:p>
        </w:tc>
      </w:tr>
      <w:tr w:rsidR="006563C9" w:rsidRPr="00C7431B" w14:paraId="337F49B5" w14:textId="77777777" w:rsidTr="00356C03">
        <w:trPr>
          <w:trHeight w:val="40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7C61" w14:textId="77777777" w:rsidR="006563C9" w:rsidRPr="00C7431B" w:rsidRDefault="006563C9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非機能</w:t>
            </w:r>
          </w:p>
          <w:p w14:paraId="37DE90A5" w14:textId="77777777" w:rsidR="006563C9" w:rsidRPr="00C7431B" w:rsidRDefault="006563C9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要件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FEA12" w14:textId="77777777" w:rsidR="006563C9" w:rsidRPr="00C7431B" w:rsidRDefault="006563C9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ユーザビリティ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B677" w14:textId="77777777" w:rsidR="006563C9" w:rsidRPr="00C7431B" w:rsidRDefault="006563C9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使いやすさへの配慮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CBDE" w14:textId="77777777" w:rsidR="006563C9" w:rsidRPr="00C7431B" w:rsidRDefault="006563C9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1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80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FF48" w14:textId="77777777" w:rsidR="006563C9" w:rsidRPr="00C7431B" w:rsidRDefault="006563C9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1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3BC2" w14:textId="77777777" w:rsidR="006563C9" w:rsidRPr="00C7431B" w:rsidRDefault="006563C9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5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</w:tr>
      <w:tr w:rsidR="006563C9" w:rsidRPr="00C7431B" w14:paraId="1AAFCCFF" w14:textId="77777777" w:rsidTr="00356C03">
        <w:trPr>
          <w:trHeight w:val="40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827D" w14:textId="77777777" w:rsidR="006563C9" w:rsidRPr="00C7431B" w:rsidRDefault="006563C9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D82A" w14:textId="77777777" w:rsidR="006563C9" w:rsidRPr="00C7431B" w:rsidRDefault="006563C9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性能・信頼性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AC88" w14:textId="77777777" w:rsidR="006563C9" w:rsidRPr="00C7431B" w:rsidRDefault="006563C9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性能や信頼性は仕様書の充足度</w:t>
            </w: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5BF1C" w14:textId="77777777" w:rsidR="006563C9" w:rsidRPr="00C7431B" w:rsidRDefault="006563C9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8FFB" w14:textId="77777777" w:rsidR="006563C9" w:rsidRPr="00C7431B" w:rsidRDefault="006563C9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1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5EEF" w14:textId="77777777" w:rsidR="006563C9" w:rsidRPr="00C7431B" w:rsidRDefault="006563C9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5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</w:tr>
      <w:tr w:rsidR="006563C9" w:rsidRPr="00C7431B" w14:paraId="000CF853" w14:textId="77777777" w:rsidTr="00356C03">
        <w:trPr>
          <w:trHeight w:val="40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01C4" w14:textId="77777777" w:rsidR="006563C9" w:rsidRPr="00C7431B" w:rsidRDefault="006563C9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89FB4" w14:textId="77777777" w:rsidR="006563C9" w:rsidRPr="00C7431B" w:rsidRDefault="006563C9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拡張性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C4FD" w14:textId="77777777" w:rsidR="006563C9" w:rsidRPr="00C7431B" w:rsidRDefault="006563C9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利用者や機能拡張への対応方針</w:t>
            </w: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8D67B" w14:textId="77777777" w:rsidR="006563C9" w:rsidRPr="00C7431B" w:rsidRDefault="006563C9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0BD7" w14:textId="77777777" w:rsidR="006563C9" w:rsidRPr="00C7431B" w:rsidRDefault="006563C9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1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2B2B" w14:textId="77777777" w:rsidR="006563C9" w:rsidRPr="00C7431B" w:rsidRDefault="006563C9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5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</w:tr>
      <w:tr w:rsidR="006563C9" w:rsidRPr="00C7431B" w14:paraId="0DDC08D0" w14:textId="77777777" w:rsidTr="006563C9">
        <w:trPr>
          <w:trHeight w:val="141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4A9E" w14:textId="77777777" w:rsidR="006563C9" w:rsidRPr="00C7431B" w:rsidRDefault="006563C9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E474C" w14:textId="77777777" w:rsidR="006563C9" w:rsidRPr="00C7431B" w:rsidRDefault="006563C9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情報セキュリティ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0313" w14:textId="77777777" w:rsidR="006563C9" w:rsidRPr="00C7431B" w:rsidRDefault="006563C9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「機密性」「可用性」「完全性」を担保する仕組み</w:t>
            </w: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B6B6" w14:textId="77777777" w:rsidR="006563C9" w:rsidRPr="00C7431B" w:rsidRDefault="006563C9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308C" w14:textId="77777777" w:rsidR="006563C9" w:rsidRPr="00C7431B" w:rsidRDefault="006563C9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28D3" w14:textId="77777777" w:rsidR="006563C9" w:rsidRPr="00C7431B" w:rsidRDefault="006563C9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3</w:t>
            </w: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0</w:t>
            </w:r>
          </w:p>
        </w:tc>
      </w:tr>
      <w:tr w:rsidR="00C7431B" w:rsidRPr="00C7431B" w14:paraId="323050FD" w14:textId="77777777" w:rsidTr="006563C9">
        <w:trPr>
          <w:trHeight w:val="40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C517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導入</w:t>
            </w:r>
          </w:p>
          <w:p w14:paraId="4877DFAB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支援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C7492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職員研修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C985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効率的な実施や、理解を深める工夫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F444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2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C5C5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F427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1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</w:tr>
      <w:tr w:rsidR="00C7431B" w:rsidRPr="00C7431B" w14:paraId="04DBC5FA" w14:textId="77777777" w:rsidTr="00356C03">
        <w:trPr>
          <w:trHeight w:val="40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C511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7D7C5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マニュアル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7C0F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理解を深めるための工夫</w:t>
            </w: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D0D9C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26C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C087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10</w:t>
            </w:r>
          </w:p>
        </w:tc>
      </w:tr>
      <w:tr w:rsidR="00C7431B" w:rsidRPr="00C7431B" w14:paraId="7FB5F1D7" w14:textId="77777777" w:rsidTr="00356C03">
        <w:trPr>
          <w:trHeight w:val="40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6AD81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運営</w:t>
            </w:r>
          </w:p>
          <w:p w14:paraId="787B3C13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体制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C9BD1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管理方法・スケジュール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5E98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プロジェクト管理に基づいた適切な管理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B380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2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1DE0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F543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1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</w:tr>
      <w:tr w:rsidR="00C7431B" w:rsidRPr="00C7431B" w14:paraId="34DBA549" w14:textId="77777777" w:rsidTr="00356C03">
        <w:trPr>
          <w:trHeight w:val="40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BB188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w w:val="80"/>
                <w:kern w:val="0"/>
                <w:szCs w:val="22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65B97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体制・メンバ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77A4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メンバの実績、人材の確保</w:t>
            </w: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E9981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DC47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77B8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1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</w:tr>
      <w:tr w:rsidR="00C7431B" w:rsidRPr="00C7431B" w14:paraId="6384BC43" w14:textId="77777777" w:rsidTr="00356C0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0BA62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その他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B2BC6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その他提案、提案者の強み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3387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その他、提案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B1C4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2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5915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7343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1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</w:tr>
      <w:tr w:rsidR="00C7431B" w:rsidRPr="00C7431B" w14:paraId="4BF4BB69" w14:textId="77777777" w:rsidTr="00356C03">
        <w:trPr>
          <w:trHeight w:val="4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737F8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価格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18EF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価格の妥当性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5BC6" w14:textId="3682741B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上限額（税込</w:t>
            </w:r>
            <w:r w:rsidR="00176369"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6</w:t>
            </w:r>
            <w:r w:rsidR="00176369"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,800.8</w:t>
            </w: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万円）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7153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2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7869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2658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2</w:t>
            </w: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0</w:t>
            </w:r>
          </w:p>
        </w:tc>
      </w:tr>
      <w:tr w:rsidR="00670FB8" w:rsidRPr="00C7431B" w14:paraId="11E9C089" w14:textId="77777777" w:rsidTr="00356C03">
        <w:trPr>
          <w:trHeight w:val="4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682E4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80CD8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6DCB" w14:textId="77777777" w:rsidR="00670FB8" w:rsidRPr="00C7431B" w:rsidRDefault="00670FB8" w:rsidP="00356C03">
            <w:pPr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合計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EED9" w14:textId="77777777" w:rsidR="00670FB8" w:rsidRPr="00C7431B" w:rsidRDefault="00670FB8" w:rsidP="00356C03">
            <w:pPr>
              <w:jc w:val="center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5</w:t>
            </w: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B61B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D0EB" w14:textId="77777777" w:rsidR="00670FB8" w:rsidRPr="00C7431B" w:rsidRDefault="00670FB8" w:rsidP="00356C03">
            <w:pPr>
              <w:jc w:val="right"/>
              <w:rPr>
                <w:rFonts w:ascii="Meiryo UI" w:eastAsia="Meiryo UI" w:hAnsi="Meiryo UI"/>
                <w:kern w:val="0"/>
                <w:szCs w:val="22"/>
                <w14:ligatures w14:val="none"/>
              </w:rPr>
            </w:pPr>
            <w:r w:rsidRPr="00C7431B">
              <w:rPr>
                <w:rFonts w:ascii="Meiryo UI" w:eastAsia="Meiryo UI" w:hAnsi="Meiryo UI"/>
                <w:kern w:val="0"/>
                <w:szCs w:val="22"/>
                <w14:ligatures w14:val="none"/>
              </w:rPr>
              <w:t>5</w:t>
            </w:r>
            <w:r w:rsidRPr="00C7431B">
              <w:rPr>
                <w:rFonts w:ascii="Meiryo UI" w:eastAsia="Meiryo UI" w:hAnsi="Meiryo UI" w:hint="eastAsia"/>
                <w:kern w:val="0"/>
                <w:szCs w:val="22"/>
                <w14:ligatures w14:val="none"/>
              </w:rPr>
              <w:t>00</w:t>
            </w:r>
          </w:p>
        </w:tc>
      </w:tr>
    </w:tbl>
    <w:p w14:paraId="4F8BF03B" w14:textId="77777777" w:rsidR="00670FB8" w:rsidRPr="00C7431B" w:rsidRDefault="00670FB8" w:rsidP="00670FB8">
      <w:pPr>
        <w:widowControl w:val="0"/>
        <w:overflowPunct w:val="0"/>
        <w:spacing w:line="318" w:lineRule="exact"/>
        <w:jc w:val="center"/>
        <w:textAlignment w:val="baseline"/>
        <w:rPr>
          <w:rFonts w:cs="Times New Roman"/>
          <w:spacing w:val="8"/>
          <w:kern w:val="0"/>
          <w:sz w:val="2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670FB8" w:rsidRPr="00C7431B" w14:paraId="1904EE97" w14:textId="77777777" w:rsidTr="00356C03">
        <w:tc>
          <w:tcPr>
            <w:tcW w:w="6374" w:type="dxa"/>
          </w:tcPr>
          <w:p w14:paraId="468BE492" w14:textId="77777777" w:rsidR="00670FB8" w:rsidRPr="00C7431B" w:rsidRDefault="00670FB8" w:rsidP="00356C03">
            <w:pPr>
              <w:widowControl w:val="0"/>
              <w:overflowPunct w:val="0"/>
              <w:spacing w:line="290" w:lineRule="exact"/>
              <w:jc w:val="both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HG丸ｺﾞｼｯｸM-PRO" w:hint="eastAsia"/>
                <w:b/>
                <w:bCs/>
                <w:spacing w:val="2"/>
                <w:kern w:val="0"/>
                <w:sz w:val="24"/>
              </w:rPr>
              <w:t>【審査方法】</w:t>
            </w:r>
          </w:p>
          <w:p w14:paraId="7FCC8668" w14:textId="77777777" w:rsidR="00670FB8" w:rsidRPr="00C7431B" w:rsidRDefault="00670FB8" w:rsidP="00356C03">
            <w:pPr>
              <w:widowControl w:val="0"/>
              <w:overflowPunct w:val="0"/>
              <w:spacing w:line="290" w:lineRule="exact"/>
              <w:ind w:left="420" w:hangingChars="200" w:hanging="420"/>
              <w:jc w:val="both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（１）委員は、各項目について審査を行い、採点する。</w:t>
            </w:r>
          </w:p>
          <w:p w14:paraId="644D4E06" w14:textId="77777777" w:rsidR="00670FB8" w:rsidRPr="00C7431B" w:rsidRDefault="00670FB8" w:rsidP="00356C03">
            <w:pPr>
              <w:widowControl w:val="0"/>
              <w:overflowPunct w:val="0"/>
              <w:spacing w:line="290" w:lineRule="exact"/>
              <w:ind w:left="420" w:hangingChars="200" w:hanging="420"/>
              <w:jc w:val="both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（２）全ての委員の点数を集計する。</w:t>
            </w:r>
          </w:p>
          <w:p w14:paraId="04B71AF8" w14:textId="77777777" w:rsidR="00670FB8" w:rsidRPr="00C7431B" w:rsidRDefault="00670FB8" w:rsidP="00356C03">
            <w:pPr>
              <w:widowControl w:val="0"/>
              <w:overflowPunct w:val="0"/>
              <w:spacing w:line="290" w:lineRule="exact"/>
              <w:ind w:left="420" w:hangingChars="200" w:hanging="420"/>
              <w:jc w:val="both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（３）集計の結果、合計点数が最も高い参加者を受託候補者として決定する。</w:t>
            </w:r>
          </w:p>
          <w:p w14:paraId="7F9246F3" w14:textId="77777777" w:rsidR="00670FB8" w:rsidRPr="00C7431B" w:rsidRDefault="00670FB8" w:rsidP="00356C03">
            <w:pPr>
              <w:widowControl w:val="0"/>
              <w:overflowPunct w:val="0"/>
              <w:spacing w:line="264" w:lineRule="exact"/>
              <w:jc w:val="both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</w:t>
            </w: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なお、点数が同点の場合は、委員の協議により決定する。</w:t>
            </w:r>
          </w:p>
          <w:p w14:paraId="29B8D496" w14:textId="77777777" w:rsidR="00670FB8" w:rsidRPr="00C7431B" w:rsidRDefault="00670FB8" w:rsidP="00356C03">
            <w:pPr>
              <w:widowControl w:val="0"/>
              <w:overflowPunct w:val="0"/>
              <w:spacing w:line="264" w:lineRule="exact"/>
              <w:ind w:left="525" w:hangingChars="250" w:hanging="525"/>
              <w:jc w:val="both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（４）委員の合計点数が最低基準点である７０点（満点５００点×７割）以上になった参加者がいなかったときは、受託候補者を決定しない。</w:t>
            </w:r>
          </w:p>
          <w:p w14:paraId="32C03F28" w14:textId="77777777" w:rsidR="00670FB8" w:rsidRPr="00C7431B" w:rsidRDefault="00670FB8" w:rsidP="00356C03">
            <w:pPr>
              <w:widowControl w:val="0"/>
              <w:overflowPunct w:val="0"/>
              <w:spacing w:line="264" w:lineRule="exact"/>
              <w:ind w:left="525" w:hangingChars="250" w:hanging="525"/>
              <w:jc w:val="both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（５）参加者が１者だけの場合、委員の合計点数が最低基準点である６０点（満点５００点×６割）以上になったとき、その参加者を受託候補者として決定する。</w:t>
            </w:r>
          </w:p>
        </w:tc>
        <w:tc>
          <w:tcPr>
            <w:tcW w:w="3254" w:type="dxa"/>
          </w:tcPr>
          <w:p w14:paraId="1443B202" w14:textId="77777777" w:rsidR="00670FB8" w:rsidRPr="00C7431B" w:rsidRDefault="00670FB8" w:rsidP="00356C03">
            <w:pPr>
              <w:widowControl w:val="0"/>
              <w:overflowPunct w:val="0"/>
              <w:spacing w:line="290" w:lineRule="exact"/>
              <w:jc w:val="both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HG丸ｺﾞｼｯｸM-PRO" w:hint="eastAsia"/>
                <w:b/>
                <w:bCs/>
                <w:spacing w:val="2"/>
                <w:kern w:val="0"/>
                <w:sz w:val="24"/>
              </w:rPr>
              <w:t>【評価基準（５段階）】</w:t>
            </w: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※５段階以外の場合は、本基準をベースに採点する。</w:t>
            </w:r>
          </w:p>
          <w:p w14:paraId="0410AD5A" w14:textId="77777777" w:rsidR="00670FB8" w:rsidRPr="00C7431B" w:rsidRDefault="00670FB8" w:rsidP="00356C03">
            <w:pPr>
              <w:widowControl w:val="0"/>
              <w:overflowPunct w:val="0"/>
              <w:spacing w:line="290" w:lineRule="exact"/>
              <w:jc w:val="both"/>
              <w:textAlignment w:val="baseline"/>
              <w:rPr>
                <w:rFonts w:cs="HG丸ｺﾞｼｯｸM-PRO"/>
                <w:kern w:val="0"/>
                <w:sz w:val="21"/>
                <w:szCs w:val="21"/>
              </w:rPr>
            </w:pPr>
          </w:p>
          <w:p w14:paraId="0ED71922" w14:textId="77777777" w:rsidR="00670FB8" w:rsidRPr="00C7431B" w:rsidRDefault="00670FB8" w:rsidP="00356C03">
            <w:pPr>
              <w:widowControl w:val="0"/>
              <w:overflowPunct w:val="0"/>
              <w:spacing w:line="290" w:lineRule="exact"/>
              <w:jc w:val="both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５　標準より非常に優れた提案</w:t>
            </w:r>
          </w:p>
          <w:p w14:paraId="6CEBF31B" w14:textId="77777777" w:rsidR="00670FB8" w:rsidRPr="00C7431B" w:rsidRDefault="00670FB8" w:rsidP="00356C03">
            <w:pPr>
              <w:widowControl w:val="0"/>
              <w:overflowPunct w:val="0"/>
              <w:spacing w:line="264" w:lineRule="exact"/>
              <w:jc w:val="both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４　標準より優れた提案</w:t>
            </w:r>
          </w:p>
          <w:p w14:paraId="32DA5722" w14:textId="77777777" w:rsidR="00670FB8" w:rsidRPr="00C7431B" w:rsidRDefault="00670FB8" w:rsidP="00356C03">
            <w:pPr>
              <w:widowControl w:val="0"/>
              <w:overflowPunct w:val="0"/>
              <w:spacing w:line="264" w:lineRule="exact"/>
              <w:jc w:val="both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３　標準的（妥当）な提案</w:t>
            </w:r>
          </w:p>
          <w:p w14:paraId="7D4D84CC" w14:textId="77777777" w:rsidR="00670FB8" w:rsidRPr="00C7431B" w:rsidRDefault="00670FB8" w:rsidP="00356C03">
            <w:pPr>
              <w:widowControl w:val="0"/>
              <w:overflowPunct w:val="0"/>
              <w:spacing w:line="264" w:lineRule="exact"/>
              <w:jc w:val="both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２　標準よりもやや劣る提案</w:t>
            </w:r>
          </w:p>
          <w:p w14:paraId="21EC70F6" w14:textId="77777777" w:rsidR="00670FB8" w:rsidRPr="00C7431B" w:rsidRDefault="00670FB8" w:rsidP="00356C03">
            <w:pPr>
              <w:widowControl w:val="0"/>
              <w:overflowPunct w:val="0"/>
              <w:spacing w:line="264" w:lineRule="exact"/>
              <w:jc w:val="both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１　標準より劣る提案</w:t>
            </w:r>
          </w:p>
          <w:p w14:paraId="06B641BF" w14:textId="77777777" w:rsidR="00670FB8" w:rsidRPr="00C7431B" w:rsidRDefault="00670FB8" w:rsidP="00356C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Times New Roman"/>
                <w:kern w:val="0"/>
                <w:sz w:val="24"/>
              </w:rPr>
              <w:br w:type="page"/>
            </w:r>
          </w:p>
        </w:tc>
      </w:tr>
    </w:tbl>
    <w:p w14:paraId="5436FE8E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HG丸ｺﾞｼｯｸM-PRO"/>
          <w:kern w:val="0"/>
          <w:sz w:val="21"/>
          <w:szCs w:val="21"/>
        </w:rPr>
      </w:pPr>
    </w:p>
    <w:p w14:paraId="44897656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HG丸ｺﾞｼｯｸM-PRO"/>
          <w:kern w:val="0"/>
          <w:sz w:val="21"/>
          <w:szCs w:val="21"/>
        </w:rPr>
      </w:pPr>
    </w:p>
    <w:p w14:paraId="1A471487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HG丸ｺﾞｼｯｸM-PRO"/>
          <w:kern w:val="0"/>
          <w:sz w:val="21"/>
          <w:szCs w:val="21"/>
        </w:rPr>
      </w:pPr>
    </w:p>
    <w:p w14:paraId="659E34B4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HG丸ｺﾞｼｯｸM-PRO"/>
          <w:kern w:val="0"/>
          <w:sz w:val="21"/>
          <w:szCs w:val="21"/>
        </w:rPr>
      </w:pPr>
    </w:p>
    <w:p w14:paraId="47AD33BD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HG丸ｺﾞｼｯｸM-PRO"/>
          <w:kern w:val="0"/>
          <w:sz w:val="21"/>
          <w:szCs w:val="21"/>
        </w:rPr>
      </w:pPr>
    </w:p>
    <w:p w14:paraId="472D1F0D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HG丸ｺﾞｼｯｸM-PRO"/>
          <w:kern w:val="0"/>
          <w:sz w:val="21"/>
          <w:szCs w:val="21"/>
        </w:rPr>
      </w:pPr>
    </w:p>
    <w:p w14:paraId="75A1F2E7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HG丸ｺﾞｼｯｸM-PRO"/>
          <w:kern w:val="0"/>
          <w:sz w:val="21"/>
          <w:szCs w:val="21"/>
        </w:rPr>
      </w:pPr>
    </w:p>
    <w:p w14:paraId="0649C2F2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HG丸ｺﾞｼｯｸM-PRO"/>
          <w:kern w:val="0"/>
          <w:sz w:val="21"/>
          <w:szCs w:val="21"/>
        </w:rPr>
      </w:pPr>
    </w:p>
    <w:p w14:paraId="648765EB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HG丸ｺﾞｼｯｸM-PRO"/>
          <w:kern w:val="0"/>
          <w:sz w:val="21"/>
          <w:szCs w:val="21"/>
        </w:rPr>
      </w:pPr>
    </w:p>
    <w:p w14:paraId="5FB0A39A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HG丸ｺﾞｼｯｸM-PRO"/>
          <w:kern w:val="0"/>
          <w:sz w:val="21"/>
          <w:szCs w:val="21"/>
        </w:rPr>
      </w:pPr>
    </w:p>
    <w:p w14:paraId="7746F854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HG丸ｺﾞｼｯｸM-PRO"/>
          <w:kern w:val="0"/>
          <w:sz w:val="21"/>
          <w:szCs w:val="21"/>
        </w:rPr>
      </w:pPr>
    </w:p>
    <w:p w14:paraId="545A7113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HG丸ｺﾞｼｯｸM-PRO"/>
          <w:kern w:val="0"/>
          <w:sz w:val="21"/>
          <w:szCs w:val="21"/>
        </w:rPr>
      </w:pPr>
    </w:p>
    <w:p w14:paraId="149323DF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HG丸ｺﾞｼｯｸM-PRO"/>
          <w:kern w:val="0"/>
          <w:sz w:val="21"/>
          <w:szCs w:val="21"/>
        </w:rPr>
      </w:pPr>
    </w:p>
    <w:p w14:paraId="37AF39B9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HG丸ｺﾞｼｯｸM-PRO"/>
          <w:kern w:val="0"/>
          <w:sz w:val="21"/>
          <w:szCs w:val="21"/>
        </w:rPr>
      </w:pPr>
    </w:p>
    <w:p w14:paraId="194CDCCC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HG丸ｺﾞｼｯｸM-PRO"/>
          <w:kern w:val="0"/>
          <w:sz w:val="21"/>
          <w:szCs w:val="21"/>
        </w:rPr>
      </w:pPr>
    </w:p>
    <w:p w14:paraId="2542E026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HG丸ｺﾞｼｯｸM-PRO"/>
          <w:kern w:val="0"/>
          <w:sz w:val="21"/>
          <w:szCs w:val="21"/>
        </w:rPr>
      </w:pPr>
    </w:p>
    <w:sectPr w:rsidR="00670FB8" w:rsidRPr="00C7431B" w:rsidSect="001616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239E4" w14:textId="77777777" w:rsidR="00161645" w:rsidRDefault="00161645" w:rsidP="00697B70">
      <w:r>
        <w:separator/>
      </w:r>
    </w:p>
  </w:endnote>
  <w:endnote w:type="continuationSeparator" w:id="0">
    <w:p w14:paraId="7F52DEB7" w14:textId="77777777" w:rsidR="00161645" w:rsidRDefault="00161645" w:rsidP="0069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B439B" w14:textId="77777777" w:rsidR="00161645" w:rsidRDefault="00161645" w:rsidP="00697B70">
      <w:r>
        <w:separator/>
      </w:r>
    </w:p>
  </w:footnote>
  <w:footnote w:type="continuationSeparator" w:id="0">
    <w:p w14:paraId="7A40012A" w14:textId="77777777" w:rsidR="00161645" w:rsidRDefault="00161645" w:rsidP="0069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8856F7"/>
    <w:multiLevelType w:val="hybridMultilevel"/>
    <w:tmpl w:val="E45AFF04"/>
    <w:lvl w:ilvl="0" w:tplc="A2EA7CDE">
      <w:start w:val="4"/>
      <w:numFmt w:val="bullet"/>
      <w:lvlText w:val="・"/>
      <w:lvlJc w:val="left"/>
      <w:pPr>
        <w:ind w:left="1209" w:hanging="360"/>
      </w:pPr>
      <w:rPr>
        <w:rFonts w:ascii="BIZ UD明朝 Medium" w:eastAsia="BIZ UD明朝 Medium" w:hAnsi="BIZ UD明朝 Medium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72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40"/>
      </w:pPr>
      <w:rPr>
        <w:rFonts w:ascii="Wingdings" w:hAnsi="Wingdings" w:hint="default"/>
      </w:rPr>
    </w:lvl>
  </w:abstractNum>
  <w:abstractNum w:abstractNumId="1" w15:restartNumberingAfterBreak="0">
    <w:nsid w:val="5B1A4B11"/>
    <w:multiLevelType w:val="hybridMultilevel"/>
    <w:tmpl w:val="0F66164C"/>
    <w:lvl w:ilvl="0" w:tplc="0D003F4E">
      <w:start w:val="2"/>
      <w:numFmt w:val="bullet"/>
      <w:lvlText w:val="□"/>
      <w:lvlJc w:val="left"/>
      <w:pPr>
        <w:ind w:left="580" w:hanging="360"/>
      </w:pPr>
      <w:rPr>
        <w:rFonts w:ascii="BIZ UD明朝 Medium" w:eastAsia="BIZ UD明朝 Medium" w:hAnsi="BIZ UD明朝 Medium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num w:numId="1" w16cid:durableId="1309243780">
    <w:abstractNumId w:val="1"/>
  </w:num>
  <w:num w:numId="2" w16cid:durableId="199610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B8"/>
    <w:rsid w:val="001364E9"/>
    <w:rsid w:val="00161645"/>
    <w:rsid w:val="00176369"/>
    <w:rsid w:val="00301F7E"/>
    <w:rsid w:val="00506460"/>
    <w:rsid w:val="006563C9"/>
    <w:rsid w:val="00670FB8"/>
    <w:rsid w:val="00697B70"/>
    <w:rsid w:val="007135D1"/>
    <w:rsid w:val="007670A2"/>
    <w:rsid w:val="00910367"/>
    <w:rsid w:val="00AE7402"/>
    <w:rsid w:val="00B136E4"/>
    <w:rsid w:val="00C05339"/>
    <w:rsid w:val="00C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9AB14"/>
  <w15:chartTrackingRefBased/>
  <w15:docId w15:val="{9F14C049-9E8D-4966-8B36-54B1EB76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FB8"/>
    <w:rPr>
      <w:rFonts w:ascii="BIZ UD明朝 Medium" w:eastAsia="BIZ UD明朝 Medium" w:hAnsi="BIZ UD明朝 Medium" w:cs="ＭＳ Ｐゴシック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0FB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F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FB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FB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FB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FB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FB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FB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FB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0FB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70FB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70FB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70FB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70F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0FB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70FB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0FB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70FB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0FB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70FB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70F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70FB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70FB8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670F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70FB8"/>
    <w:rPr>
      <w:rFonts w:ascii="BIZ UD明朝 Medium" w:eastAsia="BIZ UD明朝 Medium" w:hAnsi="BIZ UD明朝 Medium" w:cs="ＭＳ Ｐゴシック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670F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70FB8"/>
    <w:rPr>
      <w:rFonts w:ascii="BIZ UD明朝 Medium" w:eastAsia="BIZ UD明朝 Medium" w:hAnsi="BIZ UD明朝 Medium" w:cs="ＭＳ Ｐゴシック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670F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70FB8"/>
  </w:style>
  <w:style w:type="character" w:customStyle="1" w:styleId="af0">
    <w:name w:val="コメント文字列 (文字)"/>
    <w:basedOn w:val="a0"/>
    <w:link w:val="af"/>
    <w:uiPriority w:val="99"/>
    <w:rsid w:val="00670FB8"/>
    <w:rPr>
      <w:rFonts w:ascii="BIZ UD明朝 Medium" w:eastAsia="BIZ UD明朝 Medium" w:hAnsi="BIZ UD明朝 Medium" w:cs="ＭＳ Ｐゴシック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0FB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70FB8"/>
    <w:rPr>
      <w:rFonts w:ascii="BIZ UD明朝 Medium" w:eastAsia="BIZ UD明朝 Medium" w:hAnsi="BIZ UD明朝 Medium" w:cs="ＭＳ Ｐゴシック"/>
      <w:b/>
      <w:bCs/>
      <w:sz w:val="22"/>
      <w:szCs w:val="24"/>
    </w:rPr>
  </w:style>
  <w:style w:type="table" w:styleId="af3">
    <w:name w:val="Table Grid"/>
    <w:basedOn w:val="a1"/>
    <w:uiPriority w:val="39"/>
    <w:rsid w:val="00670FB8"/>
    <w:rPr>
      <w:rFonts w:ascii="BIZ UD明朝 Medium" w:eastAsia="BIZ UD明朝 Medium" w:hAnsi="BIZ UD明朝 Medium" w:cs="ＭＳ Ｐゴシック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安影 和寿</dc:creator>
  <cp:keywords/>
  <dc:description/>
  <cp:lastModifiedBy>安影 和寿</cp:lastModifiedBy>
  <cp:revision>3</cp:revision>
  <cp:lastPrinted>2024-04-11T09:14:00Z</cp:lastPrinted>
  <dcterms:created xsi:type="dcterms:W3CDTF">2024-04-11T09:01:00Z</dcterms:created>
  <dcterms:modified xsi:type="dcterms:W3CDTF">2024-04-11T09:15:00Z</dcterms:modified>
</cp:coreProperties>
</file>